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21639" cy="850788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21639" cy="850788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tabs>
          <w:tab w:leader="none" w:pos="6912" w:val="left"/>
        </w:tabs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ab/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16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Российская Федерация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Кемеровская область – Кузбасс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Беловский муниципальный </w:t>
      </w:r>
      <w:r>
        <w:rPr>
          <w:rFonts w:ascii="Times New Roman" w:hAnsi="Times New Roman"/>
          <w:b w:val="1"/>
          <w:sz w:val="28"/>
        </w:rPr>
        <w:t>округ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администрация Беловского муниципального </w:t>
      </w:r>
      <w:r>
        <w:rPr>
          <w:rFonts w:ascii="Times New Roman" w:hAnsi="Times New Roman"/>
          <w:b w:val="1"/>
          <w:sz w:val="28"/>
        </w:rPr>
        <w:t>округа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tabs>
          <w:tab w:leader="none" w:pos="426" w:val="left"/>
          <w:tab w:leader="none" w:pos="567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г.Белово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Беловского муниципального округа от </w:t>
      </w:r>
      <w:r>
        <w:rPr>
          <w:rFonts w:ascii="Times New Roman" w:hAnsi="Times New Roman"/>
          <w:sz w:val="28"/>
        </w:rPr>
        <w:t>14 декабря</w:t>
      </w:r>
      <w:r>
        <w:rPr>
          <w:rFonts w:ascii="Times New Roman" w:hAnsi="Times New Roman"/>
          <w:sz w:val="28"/>
        </w:rPr>
        <w:t xml:space="preserve"> 2022 года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973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z w:val="28"/>
        </w:rPr>
        <w:t>утверждении схемы размещения нестационарных торговых объектов на территории Беловского муниципального округа</w:t>
      </w:r>
      <w:r>
        <w:rPr>
          <w:rFonts w:ascii="Times New Roman" w:hAnsi="Times New Roman"/>
          <w:sz w:val="28"/>
        </w:rPr>
        <w:t>»</w:t>
      </w:r>
    </w:p>
    <w:p w14:paraId="12000000">
      <w:pPr>
        <w:spacing w:after="1"/>
        <w:ind/>
        <w:rPr>
          <w:rFonts w:ascii="Times New Roman" w:hAnsi="Times New Roman"/>
          <w:sz w:val="28"/>
        </w:rPr>
      </w:pPr>
    </w:p>
    <w:p w14:paraId="13000000">
      <w:pPr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В соответствии</w:t>
      </w:r>
      <w:r>
        <w:rPr>
          <w:rFonts w:ascii="Times New Roman" w:hAnsi="Times New Roman"/>
          <w:sz w:val="28"/>
        </w:rPr>
        <w:t xml:space="preserve"> с Федеральным законом от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октября </w:t>
      </w:r>
      <w:r>
        <w:rPr>
          <w:rFonts w:ascii="Times New Roman" w:hAnsi="Times New Roman"/>
          <w:sz w:val="28"/>
        </w:rPr>
        <w:t>2003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года</w:t>
      </w:r>
      <w:r>
        <w:rPr>
          <w:rFonts w:ascii="Times New Roman" w:hAnsi="Times New Roman"/>
          <w:sz w:val="28"/>
        </w:rPr>
        <w:t xml:space="preserve"> № 131-ФЗ «Об общих принципах организации местного самоуправления в Российской Федерации», Федеральным законом от 28</w:t>
      </w:r>
      <w:r>
        <w:rPr>
          <w:rFonts w:ascii="Times New Roman" w:hAnsi="Times New Roman"/>
          <w:sz w:val="28"/>
        </w:rPr>
        <w:t xml:space="preserve"> декабря </w:t>
      </w:r>
      <w:r>
        <w:rPr>
          <w:rFonts w:ascii="Times New Roman" w:hAnsi="Times New Roman"/>
          <w:sz w:val="28"/>
        </w:rPr>
        <w:t>2009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</w:t>
      </w:r>
      <w:r>
        <w:rPr>
          <w:rFonts w:ascii="Times New Roman" w:hAnsi="Times New Roman"/>
          <w:sz w:val="28"/>
        </w:rPr>
        <w:t xml:space="preserve"> сентября </w:t>
      </w:r>
      <w:r>
        <w:rPr>
          <w:rFonts w:ascii="Times New Roman" w:hAnsi="Times New Roman"/>
          <w:sz w:val="28"/>
        </w:rPr>
        <w:t>2010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постановлением Коллегии Администрации Кемеровской области от 30</w:t>
      </w:r>
      <w:r>
        <w:rPr>
          <w:rFonts w:ascii="Times New Roman" w:hAnsi="Times New Roman"/>
          <w:sz w:val="28"/>
        </w:rPr>
        <w:t xml:space="preserve"> ноября </w:t>
      </w:r>
      <w:r>
        <w:rPr>
          <w:rFonts w:ascii="Times New Roman" w:hAnsi="Times New Roman"/>
          <w:sz w:val="28"/>
        </w:rPr>
        <w:t>2010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530 «Об установлении порядка разработки и утверждения схемы размещения нестационарных торговых объектов органом местного самоуправления, определенным в соответствии с уставом соответствующего муниципального образования, а также порядка размещения нестационарных торговых объектов на землях или земельных участках, находящихся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государственной или муниципальной собственности, государственная собственность на которые не разграничена на территории Кемеровской области - Кузбасса, без предоставления земельных участков и установления сервитута, публичного сервитута», постановлением администрации Беловского муниципального округа от </w:t>
      </w:r>
      <w:r>
        <w:rPr>
          <w:rFonts w:ascii="Times New Roman" w:hAnsi="Times New Roman"/>
          <w:sz w:val="28"/>
        </w:rPr>
        <w:t>31 июл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357</w:t>
      </w:r>
      <w:r>
        <w:rPr>
          <w:rFonts w:ascii="Times New Roman" w:hAnsi="Times New Roman"/>
          <w:sz w:val="28"/>
        </w:rPr>
        <w:t xml:space="preserve"> «Об установлении порядка разработки и утверждения схемы размещения нестационарных торговых объектов на территории Беловского муниципального округа, а также порядка размещения нестационарных торговых объектов на землях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земельных участках, </w:t>
      </w:r>
      <w:r>
        <w:rPr>
          <w:rFonts w:ascii="Times New Roman" w:hAnsi="Times New Roman"/>
          <w:sz w:val="28"/>
        </w:rPr>
        <w:t xml:space="preserve">находящихся в государственной или муниципальной собственности, государственная собственность на которые не разграничена на территории Беловского муниципального округа, без предоставления земельных участков и установления сервитута, публичного сервитута», на основании решения рабочей группы по разработке проекта схемы размещения нестационарных торговых объектов на территории Беловского муниципального округа </w:t>
      </w:r>
      <w:r>
        <w:rPr>
          <w:rFonts w:ascii="Times New Roman" w:hAnsi="Times New Roman"/>
          <w:sz w:val="28"/>
        </w:rPr>
        <w:t>и внесению в нее изменений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 xml:space="preserve"> марта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:</w:t>
      </w:r>
    </w:p>
    <w:p w14:paraId="14000000">
      <w:pPr>
        <w:tabs>
          <w:tab w:leader="none" w:pos="567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1. Внести в</w:t>
      </w:r>
      <w:r>
        <w:rPr>
          <w:rFonts w:ascii="Times New Roman" w:hAnsi="Times New Roman"/>
          <w:color w:themeColor="text1" w:val="000000"/>
          <w:sz w:val="28"/>
        </w:rPr>
        <w:t xml:space="preserve"> постановление администрации Беловского муниципального округа от 14 декабря 2022 года </w:t>
      </w:r>
      <w:r>
        <w:rPr>
          <w:rFonts w:ascii="Times New Roman" w:hAnsi="Times New Roman"/>
          <w:sz w:val="28"/>
        </w:rPr>
        <w:t>№ 973 «</w:t>
      </w:r>
      <w:r>
        <w:rPr>
          <w:rFonts w:ascii="Times New Roman" w:hAnsi="Times New Roman"/>
          <w:sz w:val="28"/>
        </w:rPr>
        <w:t xml:space="preserve">Об </w:t>
      </w:r>
      <w:r>
        <w:rPr>
          <w:rFonts w:ascii="Times New Roman" w:hAnsi="Times New Roman"/>
          <w:sz w:val="28"/>
        </w:rPr>
        <w:t>утверждении схемы размещения нестационарных торговых объектов на территории Беловского муниципального округа» следующие изменения: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</w:t>
      </w:r>
      <w:r>
        <w:rPr>
          <w:rFonts w:ascii="Times New Roman" w:hAnsi="Times New Roman"/>
          <w:sz w:val="28"/>
        </w:rPr>
        <w:t xml:space="preserve">риложение </w:t>
      </w:r>
      <w:r>
        <w:rPr>
          <w:rFonts w:ascii="Times New Roman" w:hAnsi="Times New Roman"/>
          <w:sz w:val="28"/>
        </w:rPr>
        <w:t>«Схема размещения нестационарных торговых объектов на территории Беловского муниципального округа»</w:t>
      </w:r>
      <w:r>
        <w:rPr>
          <w:rFonts w:ascii="Times New Roman" w:hAnsi="Times New Roman"/>
          <w:sz w:val="28"/>
        </w:rPr>
        <w:t xml:space="preserve"> к постановлению администрации Беловского муниципального округа от 14 декабря 2022 года № 973</w:t>
      </w:r>
      <w:r>
        <w:rPr>
          <w:rFonts w:ascii="Times New Roman" w:hAnsi="Times New Roman"/>
          <w:sz w:val="28"/>
        </w:rPr>
        <w:t xml:space="preserve"> изложить в новой редакции согласно приложению к настоящему постановлению.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Признать утратившим силу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постановление  администрации  Беловского  муниципального  округа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ноября</w:t>
      </w:r>
      <w:r>
        <w:rPr>
          <w:rFonts w:ascii="Times New Roman" w:hAnsi="Times New Roman"/>
          <w:sz w:val="28"/>
        </w:rPr>
        <w:t xml:space="preserve">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>424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 внесении изменений в постанов</w:t>
      </w:r>
      <w:r>
        <w:rPr>
          <w:rFonts w:ascii="Times New Roman" w:hAnsi="Times New Roman"/>
          <w:sz w:val="28"/>
        </w:rPr>
        <w:t xml:space="preserve">ление администрации Беловского </w:t>
      </w:r>
      <w:r>
        <w:rPr>
          <w:rFonts w:ascii="Times New Roman" w:hAnsi="Times New Roman"/>
          <w:sz w:val="28"/>
        </w:rPr>
        <w:t>муниципального округа от 14 декабря</w:t>
      </w:r>
      <w:r>
        <w:rPr>
          <w:rFonts w:ascii="Times New Roman" w:hAnsi="Times New Roman"/>
          <w:sz w:val="28"/>
        </w:rPr>
        <w:t xml:space="preserve"> 2022 года</w:t>
      </w:r>
      <w:r>
        <w:rPr>
          <w:rFonts w:ascii="Times New Roman" w:hAnsi="Times New Roman"/>
          <w:sz w:val="28"/>
        </w:rPr>
        <w:t xml:space="preserve"> № 973 «Об утверждении </w:t>
      </w:r>
      <w:r>
        <w:rPr>
          <w:rFonts w:ascii="Times New Roman" w:hAnsi="Times New Roman"/>
          <w:sz w:val="28"/>
        </w:rPr>
        <w:t>схемы размещения нестационарных т</w:t>
      </w:r>
      <w:r>
        <w:rPr>
          <w:rFonts w:ascii="Times New Roman" w:hAnsi="Times New Roman"/>
          <w:sz w:val="28"/>
        </w:rPr>
        <w:t xml:space="preserve">орговых объектов на территории </w:t>
      </w:r>
      <w:r>
        <w:rPr>
          <w:rFonts w:ascii="Times New Roman" w:hAnsi="Times New Roman"/>
          <w:sz w:val="28"/>
        </w:rPr>
        <w:t>Беловского муниципального округа»</w:t>
      </w:r>
      <w:r>
        <w:rPr>
          <w:rFonts w:ascii="Times New Roman" w:hAnsi="Times New Roman"/>
          <w:sz w:val="28"/>
        </w:rPr>
        <w:t>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</w:t>
      </w:r>
      <w:r>
        <w:rPr>
          <w:rFonts w:ascii="Times New Roman" w:hAnsi="Times New Roman"/>
          <w:sz w:val="28"/>
        </w:rPr>
        <w:t>Отделу  потребительского  рынка  и предпринимательства   администрации  Беловского муниципального  округа  (</w:t>
      </w:r>
      <w:r>
        <w:rPr>
          <w:rFonts w:ascii="Times New Roman" w:hAnsi="Times New Roman"/>
          <w:sz w:val="28"/>
        </w:rPr>
        <w:t>Конева</w:t>
      </w:r>
      <w:r>
        <w:rPr>
          <w:rFonts w:ascii="Times New Roman" w:hAnsi="Times New Roman"/>
          <w:sz w:val="28"/>
        </w:rPr>
        <w:t xml:space="preserve"> Е.В.</w:t>
      </w:r>
      <w:r>
        <w:rPr>
          <w:rFonts w:ascii="Times New Roman" w:hAnsi="Times New Roman"/>
          <w:sz w:val="28"/>
        </w:rPr>
        <w:t>)  направить  схему  размещения нестационарных торговых объектов на территории Беловского муниципального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округа в Министерство промышленности и торговли  Кузбасса.</w:t>
      </w:r>
    </w:p>
    <w:p w14:paraId="18000000">
      <w:pPr>
        <w:spacing w:after="0" w:line="240" w:lineRule="auto"/>
        <w:ind w:firstLine="426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>
        <w:rPr>
          <w:rFonts w:ascii="Times New Roman" w:hAnsi="Times New Roman"/>
          <w:sz w:val="28"/>
        </w:rPr>
        <w:t>Обеспечить опубликование настоящего постановления в сетевом издании «Официальный сайт муниципального образования Беловский муниципальный округ Кемеровской области – Кузбасса» (доменное имя в информационно - телекоммуникационной сети «Интернет» – belovorn.ru) и обнародование на стендах, размещенных в зданиях территориальных управлений администрации Беловского муниципального округа.</w:t>
      </w:r>
    </w:p>
    <w:p w14:paraId="19000000">
      <w:pPr>
        <w:spacing w:after="0" w:line="240" w:lineRule="auto"/>
        <w:ind w:firstLine="426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заместителя главы 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по экономике </w:t>
      </w:r>
      <w:r>
        <w:rPr>
          <w:rFonts w:ascii="Times New Roman" w:hAnsi="Times New Roman"/>
          <w:sz w:val="28"/>
        </w:rPr>
        <w:t>Ерофееву О.В.</w:t>
      </w:r>
      <w:r>
        <w:rPr>
          <w:rFonts w:ascii="Times New Roman" w:hAnsi="Times New Roman"/>
          <w:sz w:val="28"/>
        </w:rPr>
        <w:t xml:space="preserve"> </w:t>
      </w:r>
    </w:p>
    <w:p w14:paraId="1A000000">
      <w:pPr>
        <w:spacing w:after="0" w:line="240" w:lineRule="auto"/>
        <w:ind w:firstLine="426" w:left="0"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Постановление вступает в силу после официального опубликования.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C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D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E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1F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1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Беловского </w:t>
      </w: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                                                                   В.А. Астафьев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24000000">
      <w:pPr>
        <w:sectPr>
          <w:pgSz w:h="16838" w:orient="portrait" w:w="11906"/>
          <w:pgMar w:bottom="1134" w:footer="709" w:gutter="0" w:header="709" w:left="1701" w:right="851" w:top="1134"/>
        </w:sect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</w:p>
    <w:p w14:paraId="2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2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Беловского муниципального округа </w:t>
      </w:r>
    </w:p>
    <w:p w14:paraId="2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 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2026</w:t>
      </w:r>
      <w:r>
        <w:rPr>
          <w:rFonts w:ascii="Times New Roman" w:hAnsi="Times New Roman"/>
          <w:sz w:val="28"/>
        </w:rPr>
        <w:t xml:space="preserve"> г. № </w:t>
      </w:r>
    </w:p>
    <w:p w14:paraId="2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Приложение </w:t>
      </w:r>
    </w:p>
    <w:p w14:paraId="2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2C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Беловского муниципального округа</w:t>
      </w:r>
    </w:p>
    <w:p w14:paraId="2D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14 декабря 2022 г. № 973</w:t>
      </w:r>
    </w:p>
    <w:p w14:paraId="2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СХЕМА</w:t>
      </w:r>
    </w:p>
    <w:p w14:paraId="3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размещения нестационарных торговых объектов на территории Беловск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муниципальн</w:t>
      </w:r>
      <w:r>
        <w:rPr>
          <w:rFonts w:ascii="Times New Roman" w:hAnsi="Times New Roman"/>
          <w:b w:val="1"/>
          <w:sz w:val="28"/>
        </w:rPr>
        <w:t>ого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округа</w:t>
      </w:r>
    </w:p>
    <w:p w14:paraId="3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2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1.Текстовая часть</w:t>
      </w:r>
    </w:p>
    <w:p w14:paraId="33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tbl>
      <w:tblPr>
        <w:tblStyle w:val="Style_2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6"/>
        <w:gridCol w:w="4254"/>
        <w:gridCol w:w="850"/>
        <w:gridCol w:w="708"/>
        <w:gridCol w:w="1418"/>
        <w:gridCol w:w="2552"/>
        <w:gridCol w:w="1134"/>
        <w:gridCol w:w="2127"/>
        <w:gridCol w:w="1417"/>
      </w:tblGrid>
      <w:tr>
        <w:trPr>
          <w:trHeight w:hRule="atLeast" w:val="2386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Адресные ориентиры нестационарного торгового объекта 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Площадь нестационарного торгового объекта (кв.м.)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Площадь земельного участка (кв.м)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Тип нестационарного торгового объекта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Специализация торговли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Период размещения нестационарного торгового объекта 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Информация об использовании нестационарного торгового объекта субъектами малого и среднего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extDirection w:val="btLr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Статус места размещения нестационарного торгового  объекта</w:t>
            </w:r>
          </w:p>
        </w:tc>
      </w:tr>
      <w:tr>
        <w:tc>
          <w:tcPr>
            <w:tcW w:type="dxa" w:w="1502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1. На базе существующих нестационарных торговых объектов</w:t>
            </w:r>
          </w:p>
        </w:tc>
      </w:tr>
      <w:tr>
        <w:tc>
          <w:tcPr>
            <w:tcW w:type="dxa" w:w="1502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Бековское</w:t>
            </w:r>
            <w:r>
              <w:rPr>
                <w:rFonts w:ascii="Times New Roman" w:hAnsi="Times New Roman"/>
                <w:b w:val="1"/>
                <w:sz w:val="20"/>
              </w:rPr>
              <w:t>территориальное управление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д. Верховская, ул. Молодежная, 5А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32,1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1502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Евтинское</w:t>
            </w:r>
            <w:r>
              <w:rPr>
                <w:rFonts w:ascii="Times New Roman" w:hAnsi="Times New Roman"/>
                <w:b w:val="1"/>
                <w:sz w:val="20"/>
              </w:rPr>
              <w:t>территориальное управление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с. Евтино, ул. Полевая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 в районе остановки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26,9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Павильон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с.Каракан, ул.Центральная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Павильон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субъект малого </w:t>
            </w:r>
            <w:r>
              <w:rPr>
                <w:rFonts w:ascii="Times New Roman" w:hAnsi="Times New Roman"/>
                <w:sz w:val="20"/>
              </w:rPr>
              <w:t xml:space="preserve">предпринимательства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с.Евтино в 10 метрах от ул.Полевая, 20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киоск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п.НовыйКаракан, ул.Содружества, 41В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п.НовыйКаракан, ул.Содружества, 41</w:t>
            </w:r>
            <w:r>
              <w:rPr>
                <w:rFonts w:ascii="Times New Roman" w:hAnsi="Times New Roman"/>
                <w:color w:val="000000"/>
                <w:sz w:val="20"/>
              </w:rPr>
              <w:t>Б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п.НовыйКаракан, ул.Содружества, 41</w:t>
            </w:r>
            <w:r>
              <w:rPr>
                <w:rFonts w:ascii="Times New Roman" w:hAnsi="Times New Roman"/>
                <w:color w:val="000000"/>
                <w:sz w:val="20"/>
              </w:rPr>
              <w:t>Б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  <w:p w14:paraId="7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  <w:p w14:paraId="7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  <w:p w14:paraId="8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с.Евтино, ул.Полевая, в районе № 18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c>
          <w:tcPr>
            <w:tcW w:type="dxa" w:w="1502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Пермяковское</w:t>
            </w:r>
            <w:r>
              <w:rPr>
                <w:rFonts w:ascii="Times New Roman" w:hAnsi="Times New Roman"/>
                <w:b w:val="1"/>
                <w:sz w:val="20"/>
              </w:rPr>
              <w:t>территориальное управление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с.Пермяки, ул.Инская, 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с.Пермяки, ул. Инская, 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502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Старобачатское</w:t>
            </w:r>
            <w:r>
              <w:rPr>
                <w:rFonts w:ascii="Times New Roman" w:hAnsi="Times New Roman"/>
                <w:b w:val="1"/>
                <w:sz w:val="20"/>
              </w:rPr>
              <w:t>территориальное управление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п.Старобачаты,ул.Клубная,2А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Павильон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п.Старобачаты,ул.Нефтебазовская, 26А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Павильон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п.Старобачаты, ул.Новосадовая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Павильон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с.Артышта, в 33 метрах в северо-восточном направлении относительно ориентира ул.Артыштинская,2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502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Старопестеревское</w:t>
            </w:r>
            <w:r>
              <w:rPr>
                <w:rFonts w:ascii="Times New Roman" w:hAnsi="Times New Roman"/>
                <w:b w:val="1"/>
                <w:sz w:val="20"/>
              </w:rPr>
              <w:t>территориальное управление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с.Старопестерево, </w:t>
            </w:r>
            <w:r>
              <w:rPr>
                <w:rFonts w:ascii="Times New Roman" w:hAnsi="Times New Roman"/>
                <w:sz w:val="20"/>
              </w:rPr>
              <w:t xml:space="preserve">примерно в 120 метрах в юго-восточном направлении от </w:t>
            </w:r>
            <w:r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риентира ул.Центральная, д.10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Павильон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с.Старопестерево, ул.Верхняя, 2А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3"/>
              <w:spacing w:after="0" w:before="0"/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с.Старопестерево, </w:t>
            </w:r>
            <w:r>
              <w:rPr>
                <w:b w:val="0"/>
                <w:sz w:val="20"/>
              </w:rPr>
              <w:t>в 40 метрах от жилого дома по ул.,Центральная, д.10а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Павильон 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pStyle w:val="Style_3"/>
              <w:spacing w:after="0" w:before="0"/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п. Заря , в районе ул. Шоссейная,  22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73"/>
        </w:trPr>
        <w:tc>
          <w:tcPr>
            <w:tcW w:type="dxa" w:w="1502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Моховское</w:t>
            </w:r>
            <w:r>
              <w:rPr>
                <w:rFonts w:ascii="Times New Roman" w:hAnsi="Times New Roman"/>
                <w:b w:val="1"/>
                <w:sz w:val="20"/>
              </w:rPr>
              <w:t>территориальное управление</w:t>
            </w:r>
          </w:p>
        </w:tc>
      </w:tr>
      <w:tr>
        <w:trPr>
          <w:trHeight w:hRule="atLeast" w:val="52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pStyle w:val="Style_3"/>
              <w:spacing w:after="0" w:before="0"/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п.ст.Мереть, ул. Меретская, 2Б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502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2. На вновь сформированных земельных участках</w:t>
            </w:r>
          </w:p>
        </w:tc>
      </w:tr>
      <w:t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.Мохово,в 30 метрах на запад относительно ориентира ул.Шоссейная,19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Передвижнойкиоск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3"/>
              <w:spacing w:after="0" w:before="0"/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п.Снежинский, ул.Советская в районе д.</w:t>
            </w: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</w:rPr>
              <w:t>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Передвижнойкиоск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pStyle w:val="Style_3"/>
              <w:spacing w:after="0" w:before="0"/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с.Старопестерево, ул.Верхняя, 4Б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3"/>
              <w:spacing w:after="0" w:before="0"/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с.Поморцево примерно в 32 м в северном направлении относительно ориентира ул.Центральная, 46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pStyle w:val="Style_3"/>
              <w:spacing w:after="0" w:before="0"/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п.Старобачаты, ул.Томская, 34А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72,0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9"/>
        </w:trPr>
        <w:tc>
          <w:tcPr>
            <w:tcW w:type="dxa" w:w="5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42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pStyle w:val="Style_3"/>
              <w:spacing w:after="0" w:before="0"/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с. Мохово, южнее ул.Комсомольская, д. 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6,0</w:t>
            </w:r>
          </w:p>
        </w:tc>
        <w:tc>
          <w:tcPr>
            <w:tcW w:type="dxa" w:w="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37,6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Павильон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универсальная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постоянно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субъект малого предпринимательства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</w:tr>
    </w:tbl>
    <w:p w14:paraId="2A010000">
      <w:pPr>
        <w:tabs>
          <w:tab w:leader="none" w:pos="14742" w:val="left"/>
        </w:tabs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>
      <w:pgSz w:h="11906" w:orient="landscape" w:w="16838"/>
      <w:pgMar w:bottom="1701" w:footer="709" w:gutter="0" w:header="709" w:left="1134" w:right="678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4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4_ch"/>
    <w:link w:val="Style_9"/>
  </w:style>
  <w:style w:styleId="Style_10" w:type="paragraph">
    <w:name w:val="Body Text"/>
    <w:basedOn w:val="Style_4"/>
    <w:link w:val="Style_10_ch"/>
    <w:pPr>
      <w:widowControl w:val="0"/>
      <w:spacing w:after="60" w:before="600" w:line="240" w:lineRule="atLeast"/>
      <w:ind w:hanging="1340" w:left="1340"/>
      <w:jc w:val="center"/>
    </w:pPr>
    <w:rPr>
      <w:rFonts w:ascii="Times New Roman" w:hAnsi="Times New Roman"/>
      <w:sz w:val="27"/>
    </w:rPr>
  </w:style>
  <w:style w:styleId="Style_10_ch" w:type="character">
    <w:name w:val="Body Text"/>
    <w:basedOn w:val="Style_4_ch"/>
    <w:link w:val="Style_10"/>
    <w:rPr>
      <w:rFonts w:ascii="Times New Roman" w:hAnsi="Times New Roman"/>
      <w:sz w:val="27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DocList"/>
    <w:link w:val="Style_13_ch"/>
    <w:pPr>
      <w:widowControl w:val="0"/>
      <w:spacing w:after="0" w:line="240" w:lineRule="auto"/>
      <w:ind/>
    </w:pPr>
    <w:rPr>
      <w:rFonts w:ascii="Calibri" w:hAnsi="Calibri"/>
    </w:rPr>
  </w:style>
  <w:style w:styleId="Style_13_ch" w:type="character">
    <w:name w:val="ConsPlusDocList"/>
    <w:link w:val="Style_13"/>
    <w:rPr>
      <w:rFonts w:ascii="Calibri" w:hAnsi="Calibri"/>
    </w:rPr>
  </w:style>
  <w:style w:styleId="Style_14" w:type="paragraph">
    <w:name w:val="ConsPlusJurTerm"/>
    <w:link w:val="Style_14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14_ch" w:type="character">
    <w:name w:val="ConsPlusJurTerm"/>
    <w:link w:val="Style_14"/>
    <w:rPr>
      <w:rFonts w:ascii="Tahoma" w:hAnsi="Tahoma"/>
      <w:sz w:val="26"/>
    </w:rPr>
  </w:style>
  <w:style w:styleId="Style_15" w:type="paragraph">
    <w:name w:val="ConsPlusCell"/>
    <w:link w:val="Style_1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Cell"/>
    <w:link w:val="Style_15"/>
    <w:rPr>
      <w:rFonts w:ascii="Courier New" w:hAnsi="Courier New"/>
      <w:sz w:val="20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4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3" w:type="paragraph">
    <w:name w:val="heading 1"/>
    <w:basedOn w:val="Style_4"/>
    <w:link w:val="Style_3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3_ch" w:type="character">
    <w:name w:val="heading 1"/>
    <w:basedOn w:val="Style_4_ch"/>
    <w:link w:val="Style_3"/>
    <w:rPr>
      <w:rFonts w:ascii="Times New Roman" w:hAnsi="Times New Roman"/>
      <w:b w:val="1"/>
      <w:sz w:val="48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Без интервала1"/>
    <w:link w:val="Style_20_ch"/>
    <w:pPr>
      <w:spacing w:after="0" w:line="240" w:lineRule="auto"/>
      <w:ind/>
    </w:pPr>
    <w:rPr>
      <w:rFonts w:ascii="Calibri" w:hAnsi="Calibri"/>
    </w:rPr>
  </w:style>
  <w:style w:styleId="Style_20_ch" w:type="character">
    <w:name w:val="Без интервала1"/>
    <w:link w:val="Style_20"/>
    <w:rPr>
      <w:rFonts w:ascii="Calibri" w:hAnsi="Calibri"/>
    </w:rPr>
  </w:style>
  <w:style w:styleId="Style_21" w:type="paragraph">
    <w:name w:val="toc 1"/>
    <w:next w:val="Style_4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ConsPlusTextList"/>
    <w:link w:val="Style_23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23_ch" w:type="character">
    <w:name w:val="ConsPlusTextList"/>
    <w:link w:val="Style_23"/>
    <w:rPr>
      <w:rFonts w:ascii="Arial" w:hAnsi="Arial"/>
      <w:sz w:val="20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ConsPlusNormal"/>
    <w:link w:val="Style_26_ch"/>
    <w:pPr>
      <w:widowControl w:val="0"/>
      <w:spacing w:after="0" w:line="240" w:lineRule="auto"/>
      <w:ind/>
    </w:pPr>
    <w:rPr>
      <w:rFonts w:ascii="Calibri" w:hAnsi="Calibri"/>
    </w:rPr>
  </w:style>
  <w:style w:styleId="Style_26_ch" w:type="character">
    <w:name w:val="ConsPlusNormal"/>
    <w:link w:val="Style_26"/>
    <w:rPr>
      <w:rFonts w:ascii="Calibri" w:hAnsi="Calibri"/>
    </w:rPr>
  </w:style>
  <w:style w:styleId="Style_27" w:type="paragraph">
    <w:name w:val="ConsPlusNonformat"/>
    <w:link w:val="Style_2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7_ch" w:type="character">
    <w:name w:val="ConsPlusNonformat"/>
    <w:link w:val="Style_27"/>
    <w:rPr>
      <w:rFonts w:ascii="Courier New" w:hAnsi="Courier New"/>
      <w:sz w:val="20"/>
    </w:rPr>
  </w:style>
  <w:style w:styleId="Style_28" w:type="paragraph">
    <w:name w:val="toc 5"/>
    <w:next w:val="Style_4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Основной текст Знак"/>
    <w:basedOn w:val="Style_30"/>
    <w:link w:val="Style_29_ch"/>
  </w:style>
  <w:style w:styleId="Style_29_ch" w:type="character">
    <w:name w:val="Основной текст Знак"/>
    <w:basedOn w:val="Style_30_ch"/>
    <w:link w:val="Style_29"/>
  </w:style>
  <w:style w:styleId="Style_31" w:type="paragraph">
    <w:name w:val="Subtitle"/>
    <w:next w:val="Style_4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ConsPlusTitlePage"/>
    <w:link w:val="Style_3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2_ch" w:type="character">
    <w:name w:val="ConsPlusTitlePage"/>
    <w:link w:val="Style_32"/>
    <w:rPr>
      <w:rFonts w:ascii="Tahoma" w:hAnsi="Tahoma"/>
      <w:sz w:val="20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header"/>
    <w:basedOn w:val="Style_4"/>
    <w:link w:val="Style_3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5_ch" w:type="character">
    <w:name w:val="header"/>
    <w:basedOn w:val="Style_4_ch"/>
    <w:link w:val="Style_35"/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2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2026-03-10T06:33:35Z</dcterms:modified>
</cp:coreProperties>
</file>