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51135" w:rsidRPr="00E161D4" w14:paraId="74559CA5" w14:textId="77777777">
        <w:tc>
          <w:tcPr>
            <w:tcW w:w="10173" w:type="dxa"/>
          </w:tcPr>
          <w:p w14:paraId="3C404638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08D2A4D8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140AA56C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14:paraId="7778E77D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 w14:paraId="1367580F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51135" w14:paraId="5B552D59" w14:textId="77777777">
        <w:tc>
          <w:tcPr>
            <w:tcW w:w="10207" w:type="dxa"/>
            <w:shd w:val="clear" w:color="auto" w:fill="24A84D"/>
          </w:tcPr>
          <w:p w14:paraId="7EAA037F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B51135" w14:paraId="062B7C7B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6DB9A63E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B51135" w14:paraId="0CEA97E1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4D533A26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B51135" w14:paraId="5C5A4AD8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1ED13E9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0EF61837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62B8F2F6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20B9DFF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51135" w14:paraId="780702D5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6C4DB17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7B9E03DC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AE76FBB" w14:textId="77777777">
        <w:trPr>
          <w:trHeight w:val="320"/>
        </w:trPr>
        <w:tc>
          <w:tcPr>
            <w:tcW w:w="6096" w:type="dxa"/>
            <w:vAlign w:val="center"/>
          </w:tcPr>
          <w:p w14:paraId="4004A5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14:paraId="0D5116E1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22C632F" w14:textId="77777777">
        <w:trPr>
          <w:trHeight w:val="320"/>
        </w:trPr>
        <w:tc>
          <w:tcPr>
            <w:tcW w:w="6096" w:type="dxa"/>
            <w:vAlign w:val="center"/>
          </w:tcPr>
          <w:p w14:paraId="1BB6496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14:paraId="3B2AC09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0A2D034C" w14:textId="77777777">
        <w:trPr>
          <w:trHeight w:val="320"/>
        </w:trPr>
        <w:tc>
          <w:tcPr>
            <w:tcW w:w="6096" w:type="dxa"/>
            <w:vAlign w:val="center"/>
          </w:tcPr>
          <w:p w14:paraId="2BE5F09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14:paraId="2F4BCE1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6955E2F" w14:textId="77777777">
        <w:trPr>
          <w:trHeight w:val="320"/>
        </w:trPr>
        <w:tc>
          <w:tcPr>
            <w:tcW w:w="6096" w:type="dxa"/>
            <w:vAlign w:val="center"/>
          </w:tcPr>
          <w:p w14:paraId="7BE4390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14:paraId="7D6C80C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2FF59C1" w14:textId="77777777">
        <w:trPr>
          <w:trHeight w:val="320"/>
        </w:trPr>
        <w:tc>
          <w:tcPr>
            <w:tcW w:w="6096" w:type="dxa"/>
            <w:vAlign w:val="center"/>
          </w:tcPr>
          <w:p w14:paraId="6B4B0FB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 w14:paraId="39A67C6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30E420E" w14:textId="77777777">
        <w:trPr>
          <w:trHeight w:val="320"/>
        </w:trPr>
        <w:tc>
          <w:tcPr>
            <w:tcW w:w="6096" w:type="dxa"/>
            <w:vAlign w:val="center"/>
          </w:tcPr>
          <w:p w14:paraId="59230EE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14:paraId="30FF092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E161D4" w14:paraId="682F04F5" w14:textId="77777777">
        <w:trPr>
          <w:trHeight w:val="320"/>
        </w:trPr>
        <w:tc>
          <w:tcPr>
            <w:tcW w:w="6096" w:type="dxa"/>
            <w:vAlign w:val="center"/>
          </w:tcPr>
          <w:p w14:paraId="1508F1B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14:paraId="132E097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34441281" w14:textId="77777777">
        <w:trPr>
          <w:trHeight w:val="320"/>
        </w:trPr>
        <w:tc>
          <w:tcPr>
            <w:tcW w:w="6096" w:type="dxa"/>
            <w:vAlign w:val="center"/>
          </w:tcPr>
          <w:p w14:paraId="6EDE113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14:paraId="5846EECD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5C7A80BD" w14:textId="77777777">
        <w:trPr>
          <w:trHeight w:val="320"/>
        </w:trPr>
        <w:tc>
          <w:tcPr>
            <w:tcW w:w="6096" w:type="dxa"/>
            <w:vAlign w:val="center"/>
          </w:tcPr>
          <w:p w14:paraId="3286A526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27A64D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2A9B231" w14:textId="77777777"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01CEED11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2325F25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 w:rsidR="00B51135" w:rsidRPr="00E161D4" w14:paraId="0C7A9B67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A696982" w14:textId="3328CF1F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/ строительство </w:t>
            </w:r>
            <w:r>
              <w:rPr>
                <w:sz w:val="24"/>
                <w:szCs w:val="24"/>
                <w:lang w:val="ru-RU"/>
              </w:rPr>
              <w:t xml:space="preserve"> системы</w:t>
            </w:r>
            <w:r w:rsidR="00E161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901933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4CE4A7CF" w14:textId="77777777">
        <w:trPr>
          <w:trHeight w:val="320"/>
        </w:trPr>
        <w:tc>
          <w:tcPr>
            <w:tcW w:w="6096" w:type="dxa"/>
            <w:vAlign w:val="center"/>
          </w:tcPr>
          <w:p w14:paraId="56A864C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 оборудования по обнаружению (радиочастотное, радиолокационное, видеообнаружение) и противодействию (РЭБ) </w:t>
            </w:r>
            <w:r>
              <w:rPr>
                <w:sz w:val="24"/>
                <w:szCs w:val="24"/>
                <w:lang w:val="ru-RU"/>
              </w:rPr>
              <w:t>беспилотным воздушным судам</w:t>
            </w:r>
          </w:p>
        </w:tc>
        <w:tc>
          <w:tcPr>
            <w:tcW w:w="4111" w:type="dxa"/>
            <w:vAlign w:val="center"/>
          </w:tcPr>
          <w:p w14:paraId="152F268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5BAFD561" w14:textId="77777777">
        <w:trPr>
          <w:trHeight w:val="320"/>
        </w:trPr>
        <w:tc>
          <w:tcPr>
            <w:tcW w:w="6096" w:type="dxa"/>
            <w:vAlign w:val="center"/>
          </w:tcPr>
          <w:p w14:paraId="7B068996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 w14:paraId="44D9341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3A2F86D3" w14:textId="77777777">
        <w:trPr>
          <w:trHeight w:val="320"/>
        </w:trPr>
        <w:tc>
          <w:tcPr>
            <w:tcW w:w="6096" w:type="dxa"/>
            <w:vAlign w:val="center"/>
          </w:tcPr>
          <w:p w14:paraId="0399DC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 w14:paraId="40AFFAA6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72ECA1EC" w14:textId="77777777">
        <w:trPr>
          <w:trHeight w:val="320"/>
        </w:trPr>
        <w:tc>
          <w:tcPr>
            <w:tcW w:w="6096" w:type="dxa"/>
            <w:vAlign w:val="center"/>
          </w:tcPr>
          <w:p w14:paraId="4C54224C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 w14:paraId="52B488B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24CD7CF8" w14:textId="77777777">
        <w:trPr>
          <w:trHeight w:val="320"/>
        </w:trPr>
        <w:tc>
          <w:tcPr>
            <w:tcW w:w="6096" w:type="dxa"/>
            <w:vAlign w:val="center"/>
          </w:tcPr>
          <w:p w14:paraId="7B0CE0B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 w14:paraId="381550E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7A4001C5" w14:textId="77777777" w:rsidR="00B51135" w:rsidRDefault="00B51135"/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42395544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0490CDF1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Характеристики охраняемого объекта</w:t>
            </w:r>
          </w:p>
        </w:tc>
      </w:tr>
      <w:tr w:rsidR="00B51135" w:rsidRPr="00E161D4" w14:paraId="299D2427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2C88ECD1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BF1E2F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575C8A19" w14:textId="77777777">
        <w:trPr>
          <w:trHeight w:val="320"/>
        </w:trPr>
        <w:tc>
          <w:tcPr>
            <w:tcW w:w="6096" w:type="dxa"/>
            <w:vAlign w:val="center"/>
          </w:tcPr>
          <w:p w14:paraId="0C80C0C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 w14:paraId="426FD57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54A573A1" w14:textId="77777777">
        <w:trPr>
          <w:trHeight w:val="320"/>
        </w:trPr>
        <w:tc>
          <w:tcPr>
            <w:tcW w:w="6096" w:type="dxa"/>
            <w:vAlign w:val="center"/>
          </w:tcPr>
          <w:p w14:paraId="142ABB7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установки оборудования</w:t>
            </w:r>
          </w:p>
          <w:p w14:paraId="4665E080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lastRenderedPageBreak/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 w14:paraId="4D627168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E161D4" w14:paraId="660C4A5F" w14:textId="77777777">
        <w:trPr>
          <w:trHeight w:val="320"/>
        </w:trPr>
        <w:tc>
          <w:tcPr>
            <w:tcW w:w="6096" w:type="dxa"/>
            <w:vAlign w:val="center"/>
          </w:tcPr>
          <w:p w14:paraId="6A51C0F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 w14:paraId="5D6425D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261E513E" w14:textId="77777777">
        <w:trPr>
          <w:trHeight w:val="320"/>
        </w:trPr>
        <w:tc>
          <w:tcPr>
            <w:tcW w:w="6096" w:type="dxa"/>
            <w:vAlign w:val="center"/>
          </w:tcPr>
          <w:p w14:paraId="008E113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 w14:paraId="6537BB6E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170D068A" w14:textId="77777777">
        <w:trPr>
          <w:trHeight w:val="320"/>
        </w:trPr>
        <w:tc>
          <w:tcPr>
            <w:tcW w:w="6096" w:type="dxa"/>
            <w:vAlign w:val="center"/>
          </w:tcPr>
          <w:p w14:paraId="741F742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Диапазон рабочих частот </w:t>
            </w:r>
            <w:r>
              <w:rPr>
                <w:sz w:val="24"/>
                <w:szCs w:val="24"/>
                <w:lang w:val="ru-RU"/>
              </w:rPr>
              <w:t>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14:paraId="75B760E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1A08507C" w14:textId="77777777">
        <w:trPr>
          <w:trHeight w:val="320"/>
        </w:trPr>
        <w:tc>
          <w:tcPr>
            <w:tcW w:w="6096" w:type="dxa"/>
            <w:vAlign w:val="center"/>
          </w:tcPr>
          <w:p w14:paraId="69C08B6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14:paraId="1AB12C9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0FC0D5AB" w14:textId="77777777">
        <w:trPr>
          <w:trHeight w:val="320"/>
        </w:trPr>
        <w:tc>
          <w:tcPr>
            <w:tcW w:w="6096" w:type="dxa"/>
            <w:vAlign w:val="center"/>
          </w:tcPr>
          <w:p w14:paraId="4C045E4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 w14:paraId="5EA2346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663A70DA" w14:textId="77777777">
        <w:trPr>
          <w:trHeight w:val="320"/>
        </w:trPr>
        <w:tc>
          <w:tcPr>
            <w:tcW w:w="6096" w:type="dxa"/>
            <w:vAlign w:val="center"/>
          </w:tcPr>
          <w:p w14:paraId="73D1C5D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 w14:paraId="519F4582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E161D4" w14:paraId="3BFE9F35" w14:textId="77777777">
        <w:trPr>
          <w:trHeight w:val="320"/>
        </w:trPr>
        <w:tc>
          <w:tcPr>
            <w:tcW w:w="6096" w:type="dxa"/>
            <w:vAlign w:val="center"/>
          </w:tcPr>
          <w:p w14:paraId="6B08593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 w14:paraId="3A53CD7A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6C423659" w14:textId="77777777">
        <w:trPr>
          <w:trHeight w:val="320"/>
        </w:trPr>
        <w:tc>
          <w:tcPr>
            <w:tcW w:w="6096" w:type="dxa"/>
            <w:vAlign w:val="center"/>
          </w:tcPr>
          <w:p w14:paraId="322E7E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радиомостов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 w14:paraId="3CBAFB2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E161D4" w14:paraId="2471E776" w14:textId="77777777">
        <w:trPr>
          <w:trHeight w:val="320"/>
        </w:trPr>
        <w:tc>
          <w:tcPr>
            <w:tcW w:w="6096" w:type="dxa"/>
            <w:vAlign w:val="center"/>
          </w:tcPr>
          <w:p w14:paraId="432BE81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</w:t>
            </w:r>
            <w:r>
              <w:rPr>
                <w:sz w:val="24"/>
                <w:szCs w:val="24"/>
                <w:lang w:val="ru-RU"/>
              </w:rPr>
              <w:t>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 w14:paraId="0673D2FD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E161D4" w14:paraId="671168BC" w14:textId="77777777">
        <w:trPr>
          <w:trHeight w:val="320"/>
        </w:trPr>
        <w:tc>
          <w:tcPr>
            <w:tcW w:w="6096" w:type="dxa"/>
            <w:vAlign w:val="center"/>
          </w:tcPr>
          <w:p w14:paraId="40C97282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Радиочастотное планирование. Указать поддиапазоны частот в основном диапазоне от 200 МГц до 6000 МГц</w:t>
            </w:r>
            <w:r>
              <w:rPr>
                <w:sz w:val="24"/>
                <w:szCs w:val="24"/>
                <w:lang w:val="ru-RU"/>
              </w:rPr>
              <w:t xml:space="preserve">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 w14:paraId="0B3ABA8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21EBE2E5" w14:textId="77777777"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B51135" w:rsidRPr="00E161D4" w14:paraId="5C76D111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716C2290" w14:textId="77777777"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 w:rsidR="00B51135" w14:paraId="2208B846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553F629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BB6773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C07862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39224EE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589F8D96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534128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7B1D3F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0C1D904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A078574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9B7F47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129C21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5CD83B20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D97AD9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EEAB2C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E61307C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B51135" w:rsidRPr="00E161D4" w14:paraId="5ED12C6A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218DFA89" w14:textId="77777777"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 w:rsidR="00B51135" w14:paraId="3D8B0A2F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19A1C5C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E2C88DA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073C3A7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A1271A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509E3568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7307A35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425B4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58DACF1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2BD21F0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9CD293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5EB39E7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00A3DB1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6FC4DE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846011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917F89D" w14:textId="77777777" w:rsidR="00B51135" w:rsidRDefault="00B51135">
      <w:pPr>
        <w:tabs>
          <w:tab w:val="left" w:pos="1153"/>
        </w:tabs>
        <w:rPr>
          <w:sz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B51135" w14:paraId="77832B3E" w14:textId="77777777">
        <w:trPr>
          <w:trHeight w:val="323"/>
        </w:trPr>
        <w:tc>
          <w:tcPr>
            <w:tcW w:w="1418" w:type="dxa"/>
            <w:vAlign w:val="center"/>
          </w:tcPr>
          <w:p w14:paraId="17A965EC" w14:textId="77777777" w:rsidR="00B51135" w:rsidRDefault="00B51135">
            <w:pPr>
              <w:jc w:val="center"/>
              <w:rPr>
                <w:sz w:val="22"/>
                <w:szCs w:val="22"/>
              </w:rPr>
            </w:pPr>
          </w:p>
          <w:p w14:paraId="58B7C744" w14:textId="77777777"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D646A90" w14:textId="77777777"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 w14:paraId="3058D2DB" w14:textId="77777777"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9DEC68" w14:textId="77777777"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</w:tr>
      <w:tr w:rsidR="00B51135" w14:paraId="62799DD7" w14:textId="77777777">
        <w:trPr>
          <w:trHeight w:val="323"/>
        </w:trPr>
        <w:tc>
          <w:tcPr>
            <w:tcW w:w="1418" w:type="dxa"/>
            <w:hideMark/>
          </w:tcPr>
          <w:p w14:paraId="7E1EE514" w14:textId="77777777" w:rsidR="00B51135" w:rsidRDefault="00B40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02471E57" w14:textId="77777777" w:rsidR="00B51135" w:rsidRDefault="00B40DD6"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Директор</w:t>
            </w:r>
          </w:p>
        </w:tc>
        <w:tc>
          <w:tcPr>
            <w:tcW w:w="1164" w:type="dxa"/>
          </w:tcPr>
          <w:p w14:paraId="7D639CA2" w14:textId="77777777" w:rsidR="00B51135" w:rsidRDefault="00B51135"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17CF96C" w14:textId="77777777" w:rsidR="00B51135" w:rsidRDefault="00B40DD6"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 w14:paraId="6EA939D0" w14:textId="77777777" w:rsidR="00B51135" w:rsidRDefault="00B51135">
      <w:pPr>
        <w:tabs>
          <w:tab w:val="left" w:pos="1153"/>
        </w:tabs>
        <w:rPr>
          <w:sz w:val="24"/>
          <w:lang w:val="ru-RU"/>
        </w:rPr>
      </w:pPr>
    </w:p>
    <w:sectPr w:rsidR="00B51135">
      <w:headerReference w:type="default" r:id="rId8"/>
      <w:pgSz w:w="11910" w:h="16840"/>
      <w:pgMar w:top="1276" w:right="851" w:bottom="1134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5E63" w14:textId="77777777" w:rsidR="00B40DD6" w:rsidRDefault="00B40DD6">
      <w:r>
        <w:separator/>
      </w:r>
    </w:p>
  </w:endnote>
  <w:endnote w:type="continuationSeparator" w:id="0">
    <w:p w14:paraId="1B566253" w14:textId="77777777" w:rsidR="00B40DD6" w:rsidRDefault="00B4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70FD" w14:textId="77777777" w:rsidR="00B40DD6" w:rsidRDefault="00B40DD6">
      <w:r>
        <w:separator/>
      </w:r>
    </w:p>
  </w:footnote>
  <w:footnote w:type="continuationSeparator" w:id="0">
    <w:p w14:paraId="4A499B77" w14:textId="77777777" w:rsidR="00B40DD6" w:rsidRDefault="00B4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 w:rsidR="00B51135" w14:paraId="3DF221B4" w14:textId="77777777">
      <w:tc>
        <w:tcPr>
          <w:tcW w:w="5070" w:type="dxa"/>
        </w:tcPr>
        <w:p w14:paraId="32C90973" w14:textId="77777777" w:rsidR="00B51135" w:rsidRDefault="00B40DD6">
          <w:pPr>
            <w:pStyle w:val="a8"/>
          </w:pPr>
          <w:r>
            <w:rPr>
              <w:noProof/>
            </w:rPr>
            <w:drawing>
              <wp:inline distT="0" distB="0" distL="0" distR="0" wp14:anchorId="1CE2B75F" wp14:editId="40A185AA">
                <wp:extent cx="3124200" cy="979875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14:paraId="657C4AF4" w14:textId="77777777" w:rsidR="00B51135" w:rsidRDefault="00B40DD6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6C546C19" w14:textId="77777777" w:rsidR="00B51135" w:rsidRPr="00E161D4" w:rsidRDefault="00B40DD6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E161D4">
            <w:rPr>
              <w:rFonts w:ascii="Segoe UI Light" w:hAnsi="Segoe UI Light" w:cs="Segoe UI"/>
              <w:color w:val="9D9D9D"/>
            </w:rPr>
            <w:t>.: 8 (800) 775-10-73</w:t>
          </w:r>
        </w:p>
        <w:p w14:paraId="7DC3E5C7" w14:textId="77777777" w:rsidR="00B51135" w:rsidRPr="00E161D4" w:rsidRDefault="00B40DD6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-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.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</w:hyperlink>
        </w:p>
        <w:p w14:paraId="5F52F64E" w14:textId="77777777" w:rsidR="00B51135" w:rsidRPr="00E161D4" w:rsidRDefault="00B51135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</w:p>
        <w:p w14:paraId="0CC007A6" w14:textId="77777777" w:rsidR="00B51135" w:rsidRDefault="00B40DD6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0D03CB4A" w14:textId="77777777" w:rsidR="00B51135" w:rsidRDefault="00B511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 w15:restartNumberingAfterBreak="0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 w15:restartNumberingAfterBreak="0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 w15:restartNumberingAfterBreak="0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 w15:restartNumberingAfterBreak="0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 w15:restartNumberingAfterBreak="0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 w15:restartNumberingAfterBreak="0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 w15:restartNumberingAfterBreak="0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 w15:restartNumberingAfterBreak="0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 w15:restartNumberingAfterBreak="0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 w15:restartNumberingAfterBreak="0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 w15:restartNumberingAfterBreak="0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 w15:restartNumberingAfterBreak="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 w15:restartNumberingAfterBreak="0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 w15:restartNumberingAfterBreak="0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 w15:restartNumberingAfterBreak="0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135"/>
    <w:rsid w:val="00B40DD6"/>
    <w:rsid w:val="00B51135"/>
    <w:rsid w:val="00E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C9798"/>
  <w15:docId w15:val="{E5C81FC0-E930-42D2-8102-B132385C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margarita</cp:lastModifiedBy>
  <cp:revision>3</cp:revision>
  <cp:lastPrinted>2025-03-07T10:39:00Z</cp:lastPrinted>
  <dcterms:created xsi:type="dcterms:W3CDTF">2026-01-21T13:23:00Z</dcterms:created>
  <dcterms:modified xsi:type="dcterms:W3CDTF">2026-01-22T13:26:00Z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